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93C" w:rsidRPr="00442A31" w:rsidRDefault="000A693C" w:rsidP="000A693C">
      <w:pPr>
        <w:shd w:val="clear" w:color="auto" w:fill="FFFFFF"/>
        <w:spacing w:after="63" w:line="264" w:lineRule="auto"/>
        <w:outlineLvl w:val="2"/>
        <w:rPr>
          <w:rFonts w:eastAsia="Times New Roman" w:cs="Segoe UI"/>
          <w:color w:val="F4793A"/>
          <w:sz w:val="20"/>
          <w:szCs w:val="20"/>
          <w:lang w:eastAsia="es-AR"/>
        </w:rPr>
      </w:pPr>
      <w:r w:rsidRPr="00442A31">
        <w:rPr>
          <w:rFonts w:eastAsia="Times New Roman" w:cs="Segoe UI"/>
          <w:color w:val="F4793A"/>
          <w:sz w:val="20"/>
          <w:szCs w:val="20"/>
          <w:lang w:eastAsia="es-AR"/>
        </w:rPr>
        <w:t>1.1Guía actual</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Esta sección del manual debe leerse junto con la guía de la Monografía.</w:t>
      </w:r>
    </w:p>
    <w:tbl>
      <w:tblPr>
        <w:tblW w:w="0" w:type="auto"/>
        <w:tblCellSpacing w:w="15" w:type="dxa"/>
        <w:tblCellMar>
          <w:top w:w="15" w:type="dxa"/>
          <w:left w:w="15" w:type="dxa"/>
          <w:bottom w:w="15" w:type="dxa"/>
          <w:right w:w="15" w:type="dxa"/>
        </w:tblCellMar>
        <w:tblLook w:val="04A0"/>
      </w:tblPr>
      <w:tblGrid>
        <w:gridCol w:w="4687"/>
      </w:tblGrid>
      <w:tr w:rsidR="000A693C" w:rsidRPr="00442A31" w:rsidTr="000A693C">
        <w:trPr>
          <w:tblCellSpacing w:w="15" w:type="dxa"/>
        </w:trPr>
        <w:tc>
          <w:tcPr>
            <w:tcW w:w="0" w:type="auto"/>
            <w:vAlign w:val="center"/>
            <w:hideMark/>
          </w:tcPr>
          <w:p w:rsidR="000A693C" w:rsidRPr="00442A31" w:rsidRDefault="000A693C" w:rsidP="000A693C">
            <w:pPr>
              <w:spacing w:after="324" w:line="240" w:lineRule="auto"/>
              <w:jc w:val="center"/>
              <w:rPr>
                <w:rFonts w:eastAsia="Times New Roman" w:cs="Segoe UI"/>
                <w:b/>
                <w:bCs/>
                <w:color w:val="444444"/>
                <w:sz w:val="20"/>
                <w:szCs w:val="20"/>
                <w:lang w:eastAsia="es-AR"/>
              </w:rPr>
            </w:pPr>
            <w:r w:rsidRPr="00442A31">
              <w:rPr>
                <w:rFonts w:eastAsia="Times New Roman" w:cs="Segoe UI"/>
                <w:b/>
                <w:bCs/>
                <w:color w:val="444444"/>
                <w:sz w:val="20"/>
                <w:szCs w:val="20"/>
                <w:lang w:eastAsia="es-AR"/>
              </w:rPr>
              <w:t>Convocatoria de exámenes: mayo y noviembre de 2009</w:t>
            </w:r>
          </w:p>
        </w:tc>
      </w:tr>
    </w:tbl>
    <w:p w:rsidR="000A693C" w:rsidRPr="00442A31" w:rsidRDefault="000A693C" w:rsidP="000A693C">
      <w:pPr>
        <w:shd w:val="clear" w:color="auto" w:fill="FFFFFF"/>
        <w:spacing w:after="63" w:line="264" w:lineRule="auto"/>
        <w:outlineLvl w:val="2"/>
        <w:rPr>
          <w:rFonts w:eastAsia="Times New Roman" w:cs="Segoe UI"/>
          <w:color w:val="F4793A"/>
          <w:sz w:val="20"/>
          <w:szCs w:val="20"/>
          <w:lang w:eastAsia="es-AR"/>
        </w:rPr>
      </w:pPr>
      <w:r w:rsidRPr="00442A31">
        <w:rPr>
          <w:rFonts w:eastAsia="Times New Roman" w:cs="Segoe UI"/>
          <w:color w:val="F4793A"/>
          <w:sz w:val="20"/>
          <w:szCs w:val="20"/>
          <w:lang w:eastAsia="es-AR"/>
        </w:rPr>
        <w:t>1.2Resumen de las fechas límite de llegada</w:t>
      </w:r>
    </w:p>
    <w:tbl>
      <w:tblPr>
        <w:tblW w:w="0" w:type="auto"/>
        <w:tblCellSpacing w:w="15" w:type="dxa"/>
        <w:tblCellMar>
          <w:top w:w="15" w:type="dxa"/>
          <w:left w:w="15" w:type="dxa"/>
          <w:bottom w:w="15" w:type="dxa"/>
          <w:right w:w="15" w:type="dxa"/>
        </w:tblCellMar>
        <w:tblLook w:val="04A0"/>
      </w:tblPr>
      <w:tblGrid>
        <w:gridCol w:w="2486"/>
        <w:gridCol w:w="1210"/>
        <w:gridCol w:w="1618"/>
        <w:gridCol w:w="1426"/>
        <w:gridCol w:w="2188"/>
      </w:tblGrid>
      <w:tr w:rsidR="000A693C" w:rsidRPr="00442A31" w:rsidTr="000A693C">
        <w:trPr>
          <w:tblCellSpacing w:w="15" w:type="dxa"/>
        </w:trPr>
        <w:tc>
          <w:tcPr>
            <w:tcW w:w="0" w:type="auto"/>
            <w:vAlign w:val="center"/>
            <w:hideMark/>
          </w:tcPr>
          <w:p w:rsidR="000A693C" w:rsidRPr="00442A31" w:rsidRDefault="000A693C" w:rsidP="000A693C">
            <w:pPr>
              <w:spacing w:after="324" w:line="240" w:lineRule="auto"/>
              <w:jc w:val="center"/>
              <w:rPr>
                <w:rFonts w:eastAsia="Times New Roman" w:cs="Segoe UI"/>
                <w:b/>
                <w:bCs/>
                <w:color w:val="444444"/>
                <w:sz w:val="20"/>
                <w:szCs w:val="20"/>
                <w:lang w:eastAsia="es-AR"/>
              </w:rPr>
            </w:pPr>
            <w:r w:rsidRPr="00442A31">
              <w:rPr>
                <w:rFonts w:eastAsia="Times New Roman" w:cs="Segoe UI"/>
                <w:b/>
                <w:bCs/>
                <w:color w:val="444444"/>
                <w:sz w:val="20"/>
                <w:szCs w:val="20"/>
                <w:lang w:eastAsia="es-AR"/>
              </w:rPr>
              <w:t>Acción</w:t>
            </w:r>
          </w:p>
        </w:tc>
        <w:tc>
          <w:tcPr>
            <w:tcW w:w="0" w:type="auto"/>
            <w:vAlign w:val="center"/>
            <w:hideMark/>
          </w:tcPr>
          <w:p w:rsidR="000A693C" w:rsidRPr="00442A31" w:rsidRDefault="000A693C" w:rsidP="000A693C">
            <w:pPr>
              <w:spacing w:after="324" w:line="240" w:lineRule="auto"/>
              <w:jc w:val="center"/>
              <w:rPr>
                <w:rFonts w:eastAsia="Times New Roman" w:cs="Segoe UI"/>
                <w:b/>
                <w:bCs/>
                <w:color w:val="444444"/>
                <w:sz w:val="20"/>
                <w:szCs w:val="20"/>
                <w:lang w:eastAsia="es-AR"/>
              </w:rPr>
            </w:pPr>
            <w:r w:rsidRPr="00442A31">
              <w:rPr>
                <w:rFonts w:eastAsia="Times New Roman" w:cs="Segoe UI"/>
                <w:b/>
                <w:bCs/>
                <w:color w:val="444444"/>
                <w:sz w:val="20"/>
                <w:szCs w:val="20"/>
                <w:lang w:eastAsia="es-AR"/>
              </w:rPr>
              <w:t>Convocatoria</w:t>
            </w:r>
          </w:p>
        </w:tc>
        <w:tc>
          <w:tcPr>
            <w:tcW w:w="0" w:type="auto"/>
            <w:vAlign w:val="center"/>
            <w:hideMark/>
          </w:tcPr>
          <w:p w:rsidR="000A693C" w:rsidRPr="00442A31" w:rsidRDefault="000A693C" w:rsidP="000A693C">
            <w:pPr>
              <w:spacing w:after="324" w:line="240" w:lineRule="auto"/>
              <w:jc w:val="center"/>
              <w:rPr>
                <w:rFonts w:eastAsia="Times New Roman" w:cs="Segoe UI"/>
                <w:b/>
                <w:bCs/>
                <w:color w:val="444444"/>
                <w:sz w:val="20"/>
                <w:szCs w:val="20"/>
                <w:lang w:eastAsia="es-AR"/>
              </w:rPr>
            </w:pPr>
            <w:r w:rsidRPr="00442A31">
              <w:rPr>
                <w:rFonts w:eastAsia="Times New Roman" w:cs="Segoe UI"/>
                <w:b/>
                <w:bCs/>
                <w:color w:val="444444"/>
                <w:sz w:val="20"/>
                <w:szCs w:val="20"/>
                <w:lang w:eastAsia="es-AR"/>
              </w:rPr>
              <w:t>Destinatario</w:t>
            </w:r>
          </w:p>
        </w:tc>
        <w:tc>
          <w:tcPr>
            <w:tcW w:w="0" w:type="auto"/>
            <w:vAlign w:val="center"/>
            <w:hideMark/>
          </w:tcPr>
          <w:p w:rsidR="000A693C" w:rsidRPr="00442A31" w:rsidRDefault="000A693C" w:rsidP="000A693C">
            <w:pPr>
              <w:spacing w:after="324" w:line="240" w:lineRule="auto"/>
              <w:jc w:val="center"/>
              <w:rPr>
                <w:rFonts w:eastAsia="Times New Roman" w:cs="Segoe UI"/>
                <w:b/>
                <w:bCs/>
                <w:color w:val="444444"/>
                <w:sz w:val="20"/>
                <w:szCs w:val="20"/>
                <w:lang w:eastAsia="es-AR"/>
              </w:rPr>
            </w:pPr>
            <w:r w:rsidRPr="00442A31">
              <w:rPr>
                <w:rFonts w:eastAsia="Times New Roman" w:cs="Segoe UI"/>
                <w:b/>
                <w:bCs/>
                <w:color w:val="444444"/>
                <w:sz w:val="20"/>
                <w:szCs w:val="20"/>
                <w:lang w:eastAsia="es-AR"/>
              </w:rPr>
              <w:t>Fecha límite de llegada</w:t>
            </w:r>
          </w:p>
        </w:tc>
        <w:tc>
          <w:tcPr>
            <w:tcW w:w="0" w:type="auto"/>
            <w:vAlign w:val="center"/>
            <w:hideMark/>
          </w:tcPr>
          <w:p w:rsidR="000A693C" w:rsidRPr="00442A31" w:rsidRDefault="000A693C" w:rsidP="000A693C">
            <w:pPr>
              <w:spacing w:after="324" w:line="240" w:lineRule="auto"/>
              <w:jc w:val="center"/>
              <w:rPr>
                <w:rFonts w:eastAsia="Times New Roman" w:cs="Segoe UI"/>
                <w:b/>
                <w:bCs/>
                <w:color w:val="444444"/>
                <w:sz w:val="20"/>
                <w:szCs w:val="20"/>
                <w:lang w:eastAsia="es-AR"/>
              </w:rPr>
            </w:pPr>
            <w:r w:rsidRPr="00442A31">
              <w:rPr>
                <w:rFonts w:eastAsia="Times New Roman" w:cs="Segoe UI"/>
                <w:b/>
                <w:bCs/>
                <w:color w:val="444444"/>
                <w:sz w:val="20"/>
                <w:szCs w:val="20"/>
                <w:lang w:eastAsia="es-AR"/>
              </w:rPr>
              <w:t>Método/formulario</w:t>
            </w:r>
          </w:p>
        </w:tc>
      </w:tr>
      <w:tr w:rsidR="000A693C" w:rsidRPr="00442A31" w:rsidTr="00442A31">
        <w:trPr>
          <w:trHeight w:val="660"/>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Envío de monografías para su evaluación</w:t>
            </w:r>
          </w:p>
        </w:tc>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 xml:space="preserve">Mayo de </w:t>
            </w:r>
            <w:r w:rsidR="00442A31" w:rsidRPr="00442A31">
              <w:rPr>
                <w:rFonts w:eastAsia="Times New Roman" w:cs="Segoe UI"/>
                <w:color w:val="444444"/>
                <w:sz w:val="20"/>
                <w:szCs w:val="20"/>
                <w:lang w:eastAsia="es-AR"/>
              </w:rPr>
              <w:t>2010</w:t>
            </w:r>
            <w:r w:rsidRPr="00442A31">
              <w:rPr>
                <w:rFonts w:eastAsia="Times New Roman" w:cs="Segoe UI"/>
                <w:color w:val="444444"/>
                <w:sz w:val="20"/>
                <w:szCs w:val="20"/>
                <w:lang w:eastAsia="es-AR"/>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Examinador</w:t>
            </w:r>
          </w:p>
        </w:tc>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15 de marzo de 20</w:t>
            </w:r>
            <w:r w:rsidR="00442A31" w:rsidRPr="00442A31">
              <w:rPr>
                <w:rFonts w:eastAsia="Times New Roman" w:cs="Segoe UI"/>
                <w:color w:val="444444"/>
                <w:sz w:val="20"/>
                <w:szCs w:val="20"/>
                <w:lang w:eastAsia="es-AR"/>
              </w:rPr>
              <w:t>10</w:t>
            </w:r>
            <w:r w:rsidRPr="00442A31">
              <w:rPr>
                <w:rFonts w:eastAsia="Times New Roman" w:cs="Segoe UI"/>
                <w:color w:val="444444"/>
                <w:sz w:val="20"/>
                <w:szCs w:val="20"/>
                <w:lang w:eastAsia="es-AR"/>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Lista de verificación y portada</w:t>
            </w:r>
          </w:p>
        </w:tc>
      </w:tr>
      <w:tr w:rsidR="000A693C" w:rsidRPr="00442A31" w:rsidTr="00442A31">
        <w:trPr>
          <w:trHeight w:val="573"/>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Envío de calificaciones previstas</w:t>
            </w:r>
          </w:p>
        </w:tc>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 xml:space="preserve">Mayo de </w:t>
            </w:r>
            <w:r w:rsidR="00442A31" w:rsidRPr="00442A31">
              <w:rPr>
                <w:rFonts w:eastAsia="Times New Roman" w:cs="Segoe UI"/>
                <w:color w:val="444444"/>
                <w:sz w:val="20"/>
                <w:szCs w:val="20"/>
                <w:lang w:eastAsia="es-AR"/>
              </w:rPr>
              <w:t>2010</w:t>
            </w:r>
            <w:r w:rsidRPr="00442A31">
              <w:rPr>
                <w:rFonts w:eastAsia="Times New Roman" w:cs="Segoe UI"/>
                <w:color w:val="444444"/>
                <w:sz w:val="20"/>
                <w:szCs w:val="20"/>
                <w:lang w:eastAsia="es-AR"/>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Oficina del IB en Cardiff</w:t>
            </w:r>
          </w:p>
        </w:tc>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 xml:space="preserve">10 de abril de </w:t>
            </w:r>
            <w:r w:rsidR="00442A31" w:rsidRPr="00442A31">
              <w:rPr>
                <w:rFonts w:eastAsia="Times New Roman" w:cs="Segoe UI"/>
                <w:color w:val="444444"/>
                <w:sz w:val="20"/>
                <w:szCs w:val="20"/>
                <w:lang w:eastAsia="es-AR"/>
              </w:rPr>
              <w:t>2010</w:t>
            </w:r>
            <w:r w:rsidRPr="00442A31">
              <w:rPr>
                <w:rFonts w:eastAsia="Times New Roman" w:cs="Segoe UI"/>
                <w:color w:val="444444"/>
                <w:sz w:val="20"/>
                <w:szCs w:val="20"/>
                <w:lang w:eastAsia="es-AR"/>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rsidR="000A693C" w:rsidRPr="00442A31" w:rsidRDefault="000A693C"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IBIS</w:t>
            </w:r>
          </w:p>
        </w:tc>
      </w:tr>
    </w:tbl>
    <w:p w:rsidR="000A693C" w:rsidRPr="00442A31" w:rsidRDefault="000A693C" w:rsidP="000A693C">
      <w:pPr>
        <w:shd w:val="clear" w:color="auto" w:fill="FFFFFF"/>
        <w:spacing w:after="63" w:line="264" w:lineRule="auto"/>
        <w:outlineLvl w:val="2"/>
        <w:rPr>
          <w:rFonts w:eastAsia="Times New Roman" w:cs="Segoe UI"/>
          <w:color w:val="F4793A"/>
          <w:sz w:val="20"/>
          <w:szCs w:val="20"/>
          <w:lang w:eastAsia="es-AR"/>
        </w:rPr>
      </w:pPr>
      <w:r w:rsidRPr="00442A31">
        <w:rPr>
          <w:rFonts w:eastAsia="Times New Roman" w:cs="Segoe UI"/>
          <w:color w:val="F4793A"/>
          <w:sz w:val="20"/>
          <w:szCs w:val="20"/>
          <w:lang w:eastAsia="es-AR"/>
        </w:rPr>
        <w:t>1.3Reglamento</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Solo podrán presentar monografías los alumnos de las categorías Diploma y Repetidor.</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Los alumnos de la categoría Repetidor que deseen mejorar su calificación en la Monografía podrán presentar una monografía nueva o la misma revisada. Si fueran a presentar una monografía nueva, podrán matricularse en la misma asignatura o en otra diferente. Sin embargo, los alumnos que repitan a los seis meses y deseen presentar de nuevo una monografía tendrán que matricularse en la misma asignatura.</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Si un alumno de la categoría Diploma decide no presentar la monografía pero no se retira de todos los exámenes, su categoría cambiará de Diploma a Certificado.</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Las monografías que se presenten en una asignatura o en una lengua en la que no se hayan matriculado es posible que no se evalúen.</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El colegio es responsable de garantizar que cada alumno que presente una monografía sea supervisado por un profesor del colegio con titulación o experiencia suficientes en la asignatura escogida por el alumno. Dicha supervisión no puede ser realizada simplemente por un familiar del alumno o una persona que no sea docente del colegio.</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Los supervisores deben estar familiarizados con la Monografía del Programa del Diploma y con sus responsabilidades de orientar a los alumnos en la preparación y redacción de la monografía. Tanto supervisores como alumnos deben tener acceso a las secciones pertinentes de la guía de la Monografía.</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 xml:space="preserve">Las monografías basadas en una lengua del Grupo 1 o del Grupo 2 deberán estar redactadas en dicha lengua, con la excepción de </w:t>
      </w:r>
      <w:proofErr w:type="gramStart"/>
      <w:r w:rsidRPr="00442A31">
        <w:rPr>
          <w:rFonts w:eastAsia="Times New Roman" w:cs="Segoe UI"/>
          <w:color w:val="444444"/>
          <w:sz w:val="20"/>
          <w:szCs w:val="20"/>
          <w:lang w:eastAsia="es-AR"/>
        </w:rPr>
        <w:t>Latín</w:t>
      </w:r>
      <w:proofErr w:type="gramEnd"/>
      <w:r w:rsidRPr="00442A31">
        <w:rPr>
          <w:rFonts w:eastAsia="Times New Roman" w:cs="Segoe UI"/>
          <w:color w:val="444444"/>
          <w:sz w:val="20"/>
          <w:szCs w:val="20"/>
          <w:lang w:eastAsia="es-AR"/>
        </w:rPr>
        <w:t xml:space="preserve"> y Griego Clásico. Para todas las demás asignaturas, incluidas </w:t>
      </w:r>
      <w:proofErr w:type="gramStart"/>
      <w:r w:rsidRPr="00442A31">
        <w:rPr>
          <w:rFonts w:eastAsia="Times New Roman" w:cs="Segoe UI"/>
          <w:color w:val="444444"/>
          <w:sz w:val="20"/>
          <w:szCs w:val="20"/>
          <w:lang w:eastAsia="es-AR"/>
        </w:rPr>
        <w:t>Latín</w:t>
      </w:r>
      <w:proofErr w:type="gramEnd"/>
      <w:r w:rsidRPr="00442A31">
        <w:rPr>
          <w:rFonts w:eastAsia="Times New Roman" w:cs="Segoe UI"/>
          <w:color w:val="444444"/>
          <w:sz w:val="20"/>
          <w:szCs w:val="20"/>
          <w:lang w:eastAsia="es-AR"/>
        </w:rPr>
        <w:t xml:space="preserve"> y Griego Clásico, las monografías deberán estar redactadas en español, inglés o francés.</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No se permite a los alumnos autodidactas de Lengua A1 NM con apoyo del colegio realizar la monografía en su lengua A1.</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Los alumnos no pueden presentar monografías del Grupo 2 en una lengua A1 que forme parte de sus asignaturas para obtener el diploma.</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La monografía versará sobre un tema relacionado con una de las asignaturas del Programa del Diploma y deberá satisfacer determinados criterios generales y otros específicos de la asignatura en cuestión. La lista de asignaturas para las que se puede realizar la monografía puede consultarse en la sección 1.4.</w:t>
      </w:r>
    </w:p>
    <w:p w:rsidR="000A693C" w:rsidRPr="00442A31" w:rsidRDefault="000A693C" w:rsidP="000A693C">
      <w:pPr>
        <w:numPr>
          <w:ilvl w:val="0"/>
          <w:numId w:val="1"/>
        </w:numPr>
        <w:shd w:val="clear" w:color="auto" w:fill="FFFFFF"/>
        <w:spacing w:after="38" w:line="240" w:lineRule="auto"/>
        <w:ind w:left="240"/>
        <w:rPr>
          <w:rFonts w:eastAsia="Times New Roman" w:cs="Segoe UI"/>
          <w:color w:val="444444"/>
          <w:sz w:val="20"/>
          <w:szCs w:val="20"/>
          <w:lang w:eastAsia="es-AR"/>
        </w:rPr>
      </w:pPr>
      <w:r w:rsidRPr="00442A31">
        <w:rPr>
          <w:rFonts w:eastAsia="Times New Roman" w:cs="Segoe UI"/>
          <w:color w:val="444444"/>
          <w:sz w:val="20"/>
          <w:szCs w:val="20"/>
          <w:lang w:eastAsia="es-AR"/>
        </w:rPr>
        <w:t>Si el colegio da su aprobación, el alumno podrá realizar su monografía sobre alguna asignatura distinta de las seis asignaturas que cursa para el diploma.</w:t>
      </w:r>
    </w:p>
    <w:p w:rsidR="000A693C" w:rsidRPr="00442A31" w:rsidRDefault="000A693C" w:rsidP="000A693C">
      <w:pPr>
        <w:shd w:val="clear" w:color="auto" w:fill="FFFFFF"/>
        <w:spacing w:after="63" w:line="264" w:lineRule="auto"/>
        <w:outlineLvl w:val="2"/>
        <w:rPr>
          <w:rFonts w:eastAsia="Times New Roman" w:cs="Segoe UI"/>
          <w:color w:val="F4793A"/>
          <w:sz w:val="20"/>
          <w:szCs w:val="20"/>
          <w:lang w:eastAsia="es-AR"/>
        </w:rPr>
      </w:pPr>
      <w:r w:rsidRPr="00442A31">
        <w:rPr>
          <w:rFonts w:eastAsia="Times New Roman" w:cs="Segoe UI"/>
          <w:color w:val="F4793A"/>
          <w:sz w:val="20"/>
          <w:szCs w:val="20"/>
          <w:lang w:eastAsia="es-AR"/>
        </w:rPr>
        <w:t>1.4Disponibilidad de asignaturas</w:t>
      </w:r>
    </w:p>
    <w:p w:rsidR="000A693C" w:rsidRPr="00442A31" w:rsidRDefault="000A693C" w:rsidP="000A693C">
      <w:pPr>
        <w:shd w:val="clear" w:color="auto" w:fill="FFFFFF"/>
        <w:spacing w:after="63" w:line="264" w:lineRule="auto"/>
        <w:outlineLvl w:val="3"/>
        <w:rPr>
          <w:rFonts w:eastAsia="Times New Roman" w:cs="Segoe UI"/>
          <w:color w:val="F4793A"/>
          <w:sz w:val="20"/>
          <w:szCs w:val="20"/>
          <w:lang w:eastAsia="es-AR"/>
        </w:rPr>
      </w:pPr>
      <w:r w:rsidRPr="00442A31">
        <w:rPr>
          <w:rFonts w:eastAsia="Times New Roman" w:cs="Segoe UI"/>
          <w:color w:val="F4793A"/>
          <w:sz w:val="20"/>
          <w:szCs w:val="20"/>
          <w:lang w:eastAsia="es-AR"/>
        </w:rPr>
        <w:t>1.4.1Grupo 1</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lastRenderedPageBreak/>
        <w:t>Las monografías del Grupo 1 se espera que las presenten alumnos cuya lengua materna sea la lengua A1 elegida para la monografía. No se debe animar a los alumnos a redactar una monografía del Grupo 1 en su lengua del Grupo 2, con la excepción de aquellos alumnos que deseen presentar una monografía del Grupo 1 en su lengua A2.</w:t>
      </w:r>
      <w:r w:rsidRPr="00442A31">
        <w:rPr>
          <w:rFonts w:eastAsia="Times New Roman" w:cs="Segoe UI"/>
          <w:color w:val="444444"/>
          <w:sz w:val="20"/>
          <w:szCs w:val="20"/>
          <w:lang w:eastAsia="es-AR"/>
        </w:rPr>
        <w:br/>
        <w:t>La lista de lenguas disponibles para las monografías del Grupo 1 coincide con la lista de lenguas A1 disponibles para las convocatorias de mayo y noviembre.</w:t>
      </w:r>
      <w:r w:rsidRPr="00442A31">
        <w:rPr>
          <w:rFonts w:eastAsia="Times New Roman" w:cs="Segoe UI"/>
          <w:color w:val="444444"/>
          <w:sz w:val="20"/>
          <w:szCs w:val="20"/>
          <w:lang w:eastAsia="es-AR"/>
        </w:rPr>
        <w:br/>
        <w:t xml:space="preserve">Si un alumno desea presentar una monografía en una lengua A1 que no está disponible en esa convocatoria, el coordinador deberá obtener la oportuna autorización de la oficina del IB en Cardiff a más tardar el </w:t>
      </w:r>
      <w:r w:rsidRPr="00442A31">
        <w:rPr>
          <w:rFonts w:eastAsia="Times New Roman" w:cs="Segoe UI"/>
          <w:b/>
          <w:bCs/>
          <w:color w:val="444444"/>
          <w:sz w:val="20"/>
          <w:szCs w:val="20"/>
          <w:lang w:eastAsia="es-AR"/>
        </w:rPr>
        <w:t>15 de noviembre/15 de mayo</w:t>
      </w:r>
      <w:r w:rsidRPr="00442A31">
        <w:rPr>
          <w:rFonts w:eastAsia="Times New Roman" w:cs="Segoe UI"/>
          <w:color w:val="444444"/>
          <w:sz w:val="20"/>
          <w:szCs w:val="20"/>
          <w:lang w:eastAsia="es-AR"/>
        </w:rPr>
        <w:t>, 18 meses antes de los exámenes escritos. Todas las peticiones para mayo y noviembre de 2009 ya se han procesado y los colegios correspondientes ya han recibido las cartas de autorización.</w:t>
      </w:r>
    </w:p>
    <w:p w:rsidR="000A693C" w:rsidRPr="00442A31" w:rsidRDefault="000A693C" w:rsidP="000A693C">
      <w:pPr>
        <w:shd w:val="clear" w:color="auto" w:fill="FFFFFF"/>
        <w:spacing w:after="63" w:line="264" w:lineRule="auto"/>
        <w:outlineLvl w:val="3"/>
        <w:rPr>
          <w:rFonts w:eastAsia="Times New Roman" w:cs="Segoe UI"/>
          <w:color w:val="F4793A"/>
          <w:sz w:val="20"/>
          <w:szCs w:val="20"/>
          <w:lang w:eastAsia="es-AR"/>
        </w:rPr>
      </w:pPr>
      <w:r w:rsidRPr="00442A31">
        <w:rPr>
          <w:rFonts w:eastAsia="Times New Roman" w:cs="Segoe UI"/>
          <w:color w:val="F4793A"/>
          <w:sz w:val="20"/>
          <w:szCs w:val="20"/>
          <w:lang w:eastAsia="es-AR"/>
        </w:rPr>
        <w:t>1.4.2Grupo 2</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Las monografías en una lengua del Grupo 2 se espera que las presenten alumnos que cursan la lengua como segunda lengua. Los alumnos no pueden presentar monografías del Grupo 2 en una lengua A1 que forme parte de sus asignaturas para obtener el diploma.</w:t>
      </w:r>
      <w:r w:rsidRPr="00442A31">
        <w:rPr>
          <w:rFonts w:eastAsia="Times New Roman" w:cs="Segoe UI"/>
          <w:color w:val="444444"/>
          <w:sz w:val="20"/>
          <w:szCs w:val="20"/>
          <w:lang w:eastAsia="es-AR"/>
        </w:rPr>
        <w:br/>
        <w:t>La lista de lenguas disponibles para las monografías del Grupo 2 coincide con la lista de lenguas A2, lenguas B y lenguas </w:t>
      </w:r>
      <w:r w:rsidRPr="00442A31">
        <w:rPr>
          <w:rFonts w:eastAsia="Times New Roman" w:cs="Segoe UI"/>
          <w:i/>
          <w:iCs/>
          <w:color w:val="444444"/>
          <w:sz w:val="20"/>
          <w:szCs w:val="20"/>
          <w:lang w:eastAsia="es-AR"/>
        </w:rPr>
        <w:t>ab initio</w:t>
      </w:r>
      <w:r w:rsidRPr="00442A31">
        <w:rPr>
          <w:rFonts w:eastAsia="Times New Roman" w:cs="Segoe UI"/>
          <w:color w:val="444444"/>
          <w:sz w:val="20"/>
          <w:szCs w:val="20"/>
          <w:lang w:eastAsia="es-AR"/>
        </w:rPr>
        <w:t xml:space="preserve"> disponibles para las convocatorias de mayo y noviembre. No existe la posibilidad de petición especial para las lenguas del Grupo 2.</w:t>
      </w:r>
      <w:r w:rsidRPr="00442A31">
        <w:rPr>
          <w:rFonts w:eastAsia="Times New Roman" w:cs="Segoe UI"/>
          <w:color w:val="444444"/>
          <w:sz w:val="20"/>
          <w:szCs w:val="20"/>
          <w:lang w:eastAsia="es-AR"/>
        </w:rPr>
        <w:br/>
        <w:t xml:space="preserve">Los alumnos se pueden matricular para presentar una monografía de </w:t>
      </w:r>
      <w:proofErr w:type="gramStart"/>
      <w:r w:rsidRPr="00442A31">
        <w:rPr>
          <w:rFonts w:eastAsia="Times New Roman" w:cs="Segoe UI"/>
          <w:color w:val="444444"/>
          <w:sz w:val="20"/>
          <w:szCs w:val="20"/>
          <w:lang w:eastAsia="es-AR"/>
        </w:rPr>
        <w:t>Latín</w:t>
      </w:r>
      <w:proofErr w:type="gramEnd"/>
      <w:r w:rsidRPr="00442A31">
        <w:rPr>
          <w:rFonts w:eastAsia="Times New Roman" w:cs="Segoe UI"/>
          <w:color w:val="444444"/>
          <w:sz w:val="20"/>
          <w:szCs w:val="20"/>
          <w:lang w:eastAsia="es-AR"/>
        </w:rPr>
        <w:t xml:space="preserve"> o Griego Clásico con español o inglés como lengua de respuesta tanto en la convocatoria de mayo como en la de noviembre. El francés no está disponible como lengua de respuesta en ninguna de las dos convocatorias y no se puede solicitar.</w:t>
      </w:r>
    </w:p>
    <w:p w:rsidR="000A693C" w:rsidRPr="00442A31" w:rsidRDefault="000A693C" w:rsidP="000A693C">
      <w:pPr>
        <w:shd w:val="clear" w:color="auto" w:fill="FFFFFF"/>
        <w:spacing w:after="63" w:line="264" w:lineRule="auto"/>
        <w:outlineLvl w:val="3"/>
        <w:rPr>
          <w:rFonts w:eastAsia="Times New Roman" w:cs="Segoe UI"/>
          <w:color w:val="F4793A"/>
          <w:sz w:val="20"/>
          <w:szCs w:val="20"/>
          <w:lang w:eastAsia="es-AR"/>
        </w:rPr>
      </w:pPr>
      <w:r w:rsidRPr="00442A31">
        <w:rPr>
          <w:rFonts w:eastAsia="Times New Roman" w:cs="Segoe UI"/>
          <w:color w:val="F4793A"/>
          <w:sz w:val="20"/>
          <w:szCs w:val="20"/>
          <w:lang w:eastAsia="es-AR"/>
        </w:rPr>
        <w:t>1.4.3Grupos 3 a 6</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Las siguientes asignaturas están disponibles en español, inglés y francés para 2009 y 2010.</w:t>
      </w:r>
    </w:p>
    <w:tbl>
      <w:tblPr>
        <w:tblW w:w="0" w:type="auto"/>
        <w:tblCellSpacing w:w="15" w:type="dxa"/>
        <w:tblCellMar>
          <w:top w:w="15" w:type="dxa"/>
          <w:left w:w="15" w:type="dxa"/>
          <w:bottom w:w="15" w:type="dxa"/>
          <w:right w:w="15" w:type="dxa"/>
        </w:tblCellMar>
        <w:tblLook w:val="04A0"/>
      </w:tblPr>
      <w:tblGrid>
        <w:gridCol w:w="3033"/>
        <w:gridCol w:w="4374"/>
      </w:tblGrid>
      <w:tr w:rsidR="000A693C" w:rsidRPr="00442A31" w:rsidTr="000A693C">
        <w:trPr>
          <w:tblCellSpacing w:w="15" w:type="dxa"/>
        </w:trPr>
        <w:tc>
          <w:tcPr>
            <w:tcW w:w="0" w:type="auto"/>
            <w:vAlign w:val="center"/>
            <w:hideMark/>
          </w:tcPr>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Antropología Social y Cultural</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Artes Visuales</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Biología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Cine</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Danza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Derechos Humanos</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Economía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Empresa y Gestión</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Estudios sobre la Paz y los Conflictos</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Filosofía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Física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Geografía</w:t>
            </w:r>
          </w:p>
        </w:tc>
        <w:tc>
          <w:tcPr>
            <w:tcW w:w="0" w:type="auto"/>
            <w:vAlign w:val="center"/>
            <w:hideMark/>
          </w:tcPr>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Historia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Informática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Matemáticas</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Música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Política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Psicología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Química</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Religiones del Mundo</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Sistemas Ambientales y Sociedades</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Teatro</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Tecnología de la Información en una Sociedad Global</w:t>
            </w:r>
          </w:p>
          <w:p w:rsidR="000A693C" w:rsidRPr="00442A31" w:rsidRDefault="000A693C" w:rsidP="00442A31">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Tecnología del Diseño</w:t>
            </w:r>
          </w:p>
        </w:tc>
      </w:tr>
    </w:tbl>
    <w:p w:rsidR="000A693C" w:rsidRPr="00442A31" w:rsidRDefault="000A693C" w:rsidP="000A693C">
      <w:pPr>
        <w:shd w:val="clear" w:color="auto" w:fill="FFFFFF"/>
        <w:spacing w:after="63" w:line="264" w:lineRule="auto"/>
        <w:outlineLvl w:val="2"/>
        <w:rPr>
          <w:rFonts w:eastAsia="Times New Roman" w:cs="Segoe UI"/>
          <w:color w:val="F4793A"/>
          <w:sz w:val="20"/>
          <w:szCs w:val="20"/>
          <w:lang w:eastAsia="es-AR"/>
        </w:rPr>
      </w:pPr>
      <w:r w:rsidRPr="00442A31">
        <w:rPr>
          <w:rFonts w:eastAsia="Times New Roman" w:cs="Segoe UI"/>
          <w:color w:val="F4793A"/>
          <w:sz w:val="20"/>
          <w:szCs w:val="20"/>
          <w:lang w:eastAsia="es-AR"/>
        </w:rPr>
        <w:t>1.5Cambios de asignatura</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 xml:space="preserve">Los cambios de asignatura para la monografía solo se aceptarán si se hacen antes del </w:t>
      </w:r>
      <w:r w:rsidRPr="00442A31">
        <w:rPr>
          <w:rFonts w:eastAsia="Times New Roman" w:cs="Segoe UI"/>
          <w:b/>
          <w:bCs/>
          <w:color w:val="444444"/>
          <w:sz w:val="20"/>
          <w:szCs w:val="20"/>
          <w:lang w:eastAsia="es-AR"/>
        </w:rPr>
        <w:t>15 de enero/15 de julio</w:t>
      </w:r>
      <w:r w:rsidRPr="00442A31">
        <w:rPr>
          <w:rFonts w:eastAsia="Times New Roman" w:cs="Segoe UI"/>
          <w:color w:val="444444"/>
          <w:sz w:val="20"/>
          <w:szCs w:val="20"/>
          <w:lang w:eastAsia="es-AR"/>
        </w:rPr>
        <w:t>, fecha límite definitiva para la matriculación. Tales cambios deberán hacerse mediante IBIS.</w:t>
      </w:r>
      <w:r w:rsidRPr="00442A31">
        <w:rPr>
          <w:rFonts w:eastAsia="Times New Roman" w:cs="Segoe UI"/>
          <w:color w:val="444444"/>
          <w:sz w:val="20"/>
          <w:szCs w:val="20"/>
          <w:lang w:eastAsia="es-AR"/>
        </w:rPr>
        <w:br/>
        <w:t>Si un alumno presenta una monografía para una asignatura o en una lengua de respuesta distinta de aquella en la que está matriculado, pida asesoramiento a la oficina de información a los coordinadores por correo electrónico. No envíe la monografía a un examinador de la “nueva” asignatura o lengua de respuesta, aunque aparezca un examinador para esa asignatura en la notificación de examinadores asignados.</w:t>
      </w:r>
    </w:p>
    <w:p w:rsidR="000A693C" w:rsidRPr="00442A31" w:rsidRDefault="000A693C" w:rsidP="000A693C">
      <w:pPr>
        <w:shd w:val="clear" w:color="auto" w:fill="FFFFFF"/>
        <w:spacing w:after="63" w:line="264" w:lineRule="auto"/>
        <w:outlineLvl w:val="2"/>
        <w:rPr>
          <w:rFonts w:eastAsia="Times New Roman" w:cs="Segoe UI"/>
          <w:color w:val="F4793A"/>
          <w:sz w:val="20"/>
          <w:szCs w:val="20"/>
          <w:lang w:eastAsia="es-AR"/>
        </w:rPr>
      </w:pPr>
      <w:r w:rsidRPr="00442A31">
        <w:rPr>
          <w:rFonts w:eastAsia="Times New Roman" w:cs="Segoe UI"/>
          <w:color w:val="F4793A"/>
          <w:sz w:val="20"/>
          <w:szCs w:val="20"/>
          <w:lang w:eastAsia="es-AR"/>
        </w:rPr>
        <w:t>1.6Portada de la monografía</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Todas las monografías se deben enviar al examinador con la portada completada y firmada por el alumno y el supervisor. Si el alumno y el supervisor no firman la portada de la monografía, esta no se aceptará para su evaluación y podría devolverse al colegio.</w:t>
      </w:r>
      <w:r w:rsidRPr="00442A31">
        <w:rPr>
          <w:rFonts w:eastAsia="Times New Roman" w:cs="Segoe UI"/>
          <w:color w:val="444444"/>
          <w:sz w:val="20"/>
          <w:szCs w:val="20"/>
          <w:lang w:eastAsia="es-AR"/>
        </w:rPr>
        <w:br/>
        <w:t>El alumno y el supervisor deben completar la portada en la misma lengua en que se realizó la monografía. Esta norma se aplica también a las monografías que se realicen en cualquier lengua de los grupos 1 y 2.</w:t>
      </w:r>
    </w:p>
    <w:p w:rsidR="00442A31" w:rsidRDefault="00442A31" w:rsidP="000A693C">
      <w:pPr>
        <w:shd w:val="clear" w:color="auto" w:fill="FFFFFF"/>
        <w:spacing w:after="63" w:line="264" w:lineRule="auto"/>
        <w:outlineLvl w:val="2"/>
        <w:rPr>
          <w:rFonts w:eastAsia="Times New Roman" w:cs="Segoe UI"/>
          <w:color w:val="F4793A"/>
          <w:sz w:val="20"/>
          <w:szCs w:val="20"/>
          <w:lang w:eastAsia="es-AR"/>
        </w:rPr>
      </w:pPr>
    </w:p>
    <w:p w:rsidR="00442A31" w:rsidRDefault="00442A31" w:rsidP="000A693C">
      <w:pPr>
        <w:shd w:val="clear" w:color="auto" w:fill="FFFFFF"/>
        <w:spacing w:after="63" w:line="264" w:lineRule="auto"/>
        <w:outlineLvl w:val="2"/>
        <w:rPr>
          <w:rFonts w:eastAsia="Times New Roman" w:cs="Segoe UI"/>
          <w:color w:val="F4793A"/>
          <w:sz w:val="20"/>
          <w:szCs w:val="20"/>
          <w:lang w:eastAsia="es-AR"/>
        </w:rPr>
      </w:pPr>
    </w:p>
    <w:p w:rsidR="000A693C" w:rsidRPr="00442A31" w:rsidRDefault="000A693C" w:rsidP="000A693C">
      <w:pPr>
        <w:shd w:val="clear" w:color="auto" w:fill="FFFFFF"/>
        <w:spacing w:after="63" w:line="264" w:lineRule="auto"/>
        <w:outlineLvl w:val="2"/>
        <w:rPr>
          <w:rFonts w:eastAsia="Times New Roman" w:cs="Segoe UI"/>
          <w:color w:val="F4793A"/>
          <w:sz w:val="20"/>
          <w:szCs w:val="20"/>
          <w:lang w:eastAsia="es-AR"/>
        </w:rPr>
      </w:pPr>
      <w:r w:rsidRPr="00442A31">
        <w:rPr>
          <w:rFonts w:eastAsia="Times New Roman" w:cs="Segoe UI"/>
          <w:color w:val="F4793A"/>
          <w:sz w:val="20"/>
          <w:szCs w:val="20"/>
          <w:lang w:eastAsia="es-AR"/>
        </w:rPr>
        <w:lastRenderedPageBreak/>
        <w:t>1.7Entrega de las monografías</w:t>
      </w:r>
    </w:p>
    <w:p w:rsidR="000A693C" w:rsidRPr="00442A31" w:rsidRDefault="000A693C" w:rsidP="000A693C">
      <w:pPr>
        <w:shd w:val="clear" w:color="auto" w:fill="FFFFFF"/>
        <w:spacing w:after="63" w:line="264" w:lineRule="auto"/>
        <w:outlineLvl w:val="3"/>
        <w:rPr>
          <w:rFonts w:eastAsia="Times New Roman" w:cs="Segoe UI"/>
          <w:color w:val="F4793A"/>
          <w:sz w:val="20"/>
          <w:szCs w:val="20"/>
          <w:lang w:eastAsia="es-AR"/>
        </w:rPr>
      </w:pPr>
      <w:r w:rsidRPr="00442A31">
        <w:rPr>
          <w:rFonts w:eastAsia="Times New Roman" w:cs="Segoe UI"/>
          <w:color w:val="F4793A"/>
          <w:sz w:val="20"/>
          <w:szCs w:val="20"/>
          <w:lang w:eastAsia="es-AR"/>
        </w:rPr>
        <w:t>1.7.1Notificación de examinadores asignados</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 xml:space="preserve">La lista de los examinadores que evaluarán las monografías se publicará en IBIS a más tardar el </w:t>
      </w:r>
      <w:r w:rsidRPr="00442A31">
        <w:rPr>
          <w:rFonts w:eastAsia="Times New Roman" w:cs="Segoe UI"/>
          <w:b/>
          <w:bCs/>
          <w:color w:val="444444"/>
          <w:sz w:val="20"/>
          <w:szCs w:val="20"/>
          <w:lang w:eastAsia="es-AR"/>
        </w:rPr>
        <w:t>20 de febrero/20 de agosto</w:t>
      </w:r>
      <w:r w:rsidRPr="00442A31">
        <w:rPr>
          <w:rFonts w:eastAsia="Times New Roman" w:cs="Segoe UI"/>
          <w:color w:val="444444"/>
          <w:sz w:val="20"/>
          <w:szCs w:val="20"/>
          <w:lang w:eastAsia="es-AR"/>
        </w:rPr>
        <w:t>, aproximadamente dos meses antes de los exámenes escritos. Se notificará el nombre y la dirección del examinador asignado para corregir las monografías del colegio en cada asignatura. Si las monografías se presentan en más de una lengua de respuesta, es posible que se asigne más de un examinador para una asignatura.</w:t>
      </w:r>
    </w:p>
    <w:p w:rsidR="000A693C" w:rsidRPr="00442A31" w:rsidRDefault="000A693C" w:rsidP="000A693C">
      <w:pPr>
        <w:shd w:val="clear" w:color="auto" w:fill="FFFFFF"/>
        <w:spacing w:after="63" w:line="264" w:lineRule="auto"/>
        <w:outlineLvl w:val="3"/>
        <w:rPr>
          <w:rFonts w:eastAsia="Times New Roman" w:cs="Segoe UI"/>
          <w:color w:val="F4793A"/>
          <w:sz w:val="20"/>
          <w:szCs w:val="20"/>
          <w:lang w:eastAsia="es-AR"/>
        </w:rPr>
      </w:pPr>
      <w:r w:rsidRPr="00442A31">
        <w:rPr>
          <w:rFonts w:eastAsia="Times New Roman" w:cs="Segoe UI"/>
          <w:color w:val="F4793A"/>
          <w:sz w:val="20"/>
          <w:szCs w:val="20"/>
          <w:lang w:eastAsia="es-AR"/>
        </w:rPr>
        <w:t>1.7.2Alumnos que no entregan la monografía</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Existe una lista de verificación (u hoja de asistencia) disponible en IBIS en el menú de matriculación de alumnos. Imprima la lista de verificación para cada asignatura y lengua de respuesta de las monografías. Si un alumno no entrega la monografía, independientemente del motivo, marque con una cruz la casilla que aparece junto al nombre del alumno. Incluya la lista de verificación en el paquete de monografías que envía al examinador de la asignatura.</w:t>
      </w:r>
      <w:r w:rsidRPr="00442A31">
        <w:rPr>
          <w:rFonts w:eastAsia="Times New Roman" w:cs="Segoe UI"/>
          <w:color w:val="444444"/>
          <w:sz w:val="20"/>
          <w:szCs w:val="20"/>
          <w:lang w:eastAsia="es-AR"/>
        </w:rPr>
        <w:br/>
        <w:t xml:space="preserve">Si un alumno no presentó la monografía debido a circunstancias adversas, complete el </w:t>
      </w:r>
      <w:hyperlink r:id="rId5" w:tgtFrame="_blank" w:history="1">
        <w:r w:rsidRPr="00442A31">
          <w:rPr>
            <w:rFonts w:eastAsia="Times New Roman" w:cs="Segoe UI"/>
            <w:color w:val="0066CC"/>
            <w:sz w:val="20"/>
            <w:szCs w:val="20"/>
            <w:u w:val="single"/>
            <w:lang w:eastAsia="es-AR"/>
          </w:rPr>
          <w:t>formulario D2</w:t>
        </w:r>
      </w:hyperlink>
      <w:r w:rsidRPr="00442A31">
        <w:rPr>
          <w:rFonts w:eastAsia="Times New Roman" w:cs="Segoe UI"/>
          <w:color w:val="444444"/>
          <w:sz w:val="20"/>
          <w:szCs w:val="20"/>
          <w:lang w:eastAsia="es-AR"/>
        </w:rPr>
        <w:t xml:space="preserve"> y envíelo a la oficina del IB en Cardiff inmediatamente.</w:t>
      </w:r>
    </w:p>
    <w:p w:rsidR="000A693C" w:rsidRPr="00442A31" w:rsidRDefault="000A693C" w:rsidP="000A693C">
      <w:pPr>
        <w:shd w:val="clear" w:color="auto" w:fill="FFFFFF"/>
        <w:spacing w:after="63" w:line="264" w:lineRule="auto"/>
        <w:outlineLvl w:val="3"/>
        <w:rPr>
          <w:rFonts w:eastAsia="Times New Roman" w:cs="Segoe UI"/>
          <w:color w:val="F4793A"/>
          <w:sz w:val="20"/>
          <w:szCs w:val="20"/>
          <w:lang w:eastAsia="es-AR"/>
        </w:rPr>
      </w:pPr>
      <w:r w:rsidRPr="00442A31">
        <w:rPr>
          <w:rFonts w:eastAsia="Times New Roman" w:cs="Segoe UI"/>
          <w:color w:val="F4793A"/>
          <w:sz w:val="20"/>
          <w:szCs w:val="20"/>
          <w:lang w:eastAsia="es-AR"/>
        </w:rPr>
        <w:t>1.7.3Envío de monografías al examinador</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 xml:space="preserve">Envíe al examinador las monografías (con sus correspondientes portadas) de modo que lleguen a más tardar el </w:t>
      </w:r>
      <w:r w:rsidRPr="00442A31">
        <w:rPr>
          <w:rFonts w:eastAsia="Times New Roman" w:cs="Segoe UI"/>
          <w:b/>
          <w:bCs/>
          <w:color w:val="444444"/>
          <w:sz w:val="20"/>
          <w:szCs w:val="20"/>
          <w:lang w:eastAsia="es-AR"/>
        </w:rPr>
        <w:t>15 de marzo/15 de septiembre</w:t>
      </w:r>
      <w:r w:rsidRPr="00442A31">
        <w:rPr>
          <w:rFonts w:eastAsia="Times New Roman" w:cs="Segoe UI"/>
          <w:color w:val="444444"/>
          <w:sz w:val="20"/>
          <w:szCs w:val="20"/>
          <w:lang w:eastAsia="es-AR"/>
        </w:rPr>
        <w:t>. Si es posible, envíe las monografías inmediatamente después de que se le notifiquen los examinadores asignados para que estos reciban con suficiente antelación las monografías que les corresponden.</w:t>
      </w:r>
      <w:r w:rsidRPr="00442A31">
        <w:rPr>
          <w:rFonts w:eastAsia="Times New Roman" w:cs="Segoe UI"/>
          <w:color w:val="444444"/>
          <w:sz w:val="20"/>
          <w:szCs w:val="20"/>
          <w:lang w:eastAsia="es-AR"/>
        </w:rPr>
        <w:br/>
        <w:t>Incluya una lista de verificación (u hoja de asistencia) aun si todos los alumnos han entregado la monografía.</w:t>
      </w:r>
      <w:r w:rsidRPr="00442A31">
        <w:rPr>
          <w:rFonts w:eastAsia="Times New Roman" w:cs="Segoe UI"/>
          <w:color w:val="444444"/>
          <w:sz w:val="20"/>
          <w:szCs w:val="20"/>
          <w:lang w:eastAsia="es-AR"/>
        </w:rPr>
        <w:br/>
        <w:t>Los coordinadores deben conservar al menos una copia de cada monografía por si acaso estas se extravían en el envío.</w:t>
      </w:r>
    </w:p>
    <w:p w:rsidR="000A693C" w:rsidRPr="00442A31" w:rsidRDefault="000A693C" w:rsidP="000A693C">
      <w:pPr>
        <w:shd w:val="clear" w:color="auto" w:fill="FFFFFF"/>
        <w:spacing w:after="63" w:line="264" w:lineRule="auto"/>
        <w:outlineLvl w:val="2"/>
        <w:rPr>
          <w:rFonts w:eastAsia="Times New Roman" w:cs="Segoe UI"/>
          <w:color w:val="F4793A"/>
          <w:sz w:val="20"/>
          <w:szCs w:val="20"/>
          <w:lang w:eastAsia="es-AR"/>
        </w:rPr>
      </w:pPr>
      <w:r w:rsidRPr="00442A31">
        <w:rPr>
          <w:rFonts w:eastAsia="Times New Roman" w:cs="Segoe UI"/>
          <w:color w:val="F4793A"/>
          <w:sz w:val="20"/>
          <w:szCs w:val="20"/>
          <w:lang w:eastAsia="es-AR"/>
        </w:rPr>
        <w:t>1.8Calificaciones previstas</w:t>
      </w:r>
    </w:p>
    <w:p w:rsidR="000A693C" w:rsidRPr="00442A31" w:rsidRDefault="000A693C" w:rsidP="000A693C">
      <w:pPr>
        <w:shd w:val="clear" w:color="auto" w:fill="FFFFFF"/>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 xml:space="preserve">Los coordinadores deben emitir una calificación prevista para la monografía de cada alumno. Dichas calificaciones se deben ingresar en IBIS a más tardar el </w:t>
      </w:r>
      <w:r w:rsidRPr="00442A31">
        <w:rPr>
          <w:rFonts w:eastAsia="Times New Roman" w:cs="Segoe UI"/>
          <w:b/>
          <w:bCs/>
          <w:color w:val="444444"/>
          <w:sz w:val="20"/>
          <w:szCs w:val="20"/>
          <w:lang w:eastAsia="es-AR"/>
        </w:rPr>
        <w:t>10 de abril/10 de octubre</w:t>
      </w:r>
      <w:r w:rsidRPr="00442A31">
        <w:rPr>
          <w:rFonts w:eastAsia="Times New Roman" w:cs="Segoe UI"/>
          <w:color w:val="444444"/>
          <w:sz w:val="20"/>
          <w:szCs w:val="20"/>
          <w:lang w:eastAsia="es-AR"/>
        </w:rPr>
        <w:t>, aproximadamente tres semanas antes de los exámenes escritos.</w:t>
      </w:r>
      <w:r w:rsidRPr="00442A31">
        <w:rPr>
          <w:rFonts w:eastAsia="Times New Roman" w:cs="Segoe UI"/>
          <w:color w:val="444444"/>
          <w:sz w:val="20"/>
          <w:szCs w:val="20"/>
          <w:lang w:eastAsia="es-AR"/>
        </w:rPr>
        <w:br/>
        <w:t>A continuación se muestra la escala de calificaciones del IB y, por tanto, las únicas calificaciones previstas permitidas para la Monografía.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018"/>
        <w:gridCol w:w="204"/>
        <w:gridCol w:w="1109"/>
      </w:tblGrid>
      <w:tr w:rsidR="00442A31" w:rsidRPr="00442A31" w:rsidTr="00442A31">
        <w:trPr>
          <w:tblCellSpacing w:w="15" w:type="dxa"/>
        </w:trPr>
        <w:tc>
          <w:tcPr>
            <w:tcW w:w="0" w:type="auto"/>
            <w:vMerge w:val="restart"/>
            <w:vAlign w:val="center"/>
            <w:hideMark/>
          </w:tcPr>
          <w:p w:rsidR="00442A31" w:rsidRPr="00442A31" w:rsidRDefault="00442A31" w:rsidP="000A693C">
            <w:pPr>
              <w:spacing w:after="324"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Calificación</w:t>
            </w: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A</w:t>
            </w: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Excelente</w:t>
            </w:r>
          </w:p>
        </w:tc>
      </w:tr>
      <w:tr w:rsidR="00442A31" w:rsidRPr="00442A31" w:rsidTr="00442A31">
        <w:trPr>
          <w:tblCellSpacing w:w="15" w:type="dxa"/>
        </w:trPr>
        <w:tc>
          <w:tcPr>
            <w:tcW w:w="0" w:type="auto"/>
            <w:vMerge/>
            <w:vAlign w:val="center"/>
            <w:hideMark/>
          </w:tcPr>
          <w:p w:rsidR="00442A31" w:rsidRPr="00442A31" w:rsidRDefault="00442A31" w:rsidP="000A693C">
            <w:pPr>
              <w:spacing w:after="0" w:line="240" w:lineRule="auto"/>
              <w:rPr>
                <w:rFonts w:eastAsia="Times New Roman" w:cs="Segoe UI"/>
                <w:color w:val="444444"/>
                <w:sz w:val="20"/>
                <w:szCs w:val="20"/>
                <w:lang w:eastAsia="es-AR"/>
              </w:rPr>
            </w:pP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B</w:t>
            </w: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Bueno</w:t>
            </w:r>
          </w:p>
        </w:tc>
      </w:tr>
      <w:tr w:rsidR="00442A31" w:rsidRPr="00442A31" w:rsidTr="00442A31">
        <w:trPr>
          <w:tblCellSpacing w:w="15" w:type="dxa"/>
        </w:trPr>
        <w:tc>
          <w:tcPr>
            <w:tcW w:w="0" w:type="auto"/>
            <w:vMerge/>
            <w:vAlign w:val="center"/>
            <w:hideMark/>
          </w:tcPr>
          <w:p w:rsidR="00442A31" w:rsidRPr="00442A31" w:rsidRDefault="00442A31" w:rsidP="000A693C">
            <w:pPr>
              <w:spacing w:after="0" w:line="240" w:lineRule="auto"/>
              <w:rPr>
                <w:rFonts w:eastAsia="Times New Roman" w:cs="Segoe UI"/>
                <w:color w:val="444444"/>
                <w:sz w:val="20"/>
                <w:szCs w:val="20"/>
                <w:lang w:eastAsia="es-AR"/>
              </w:rPr>
            </w:pP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C</w:t>
            </w: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Satisfactorio</w:t>
            </w:r>
          </w:p>
        </w:tc>
      </w:tr>
      <w:tr w:rsidR="00442A31" w:rsidRPr="00442A31" w:rsidTr="00442A31">
        <w:trPr>
          <w:tblCellSpacing w:w="15" w:type="dxa"/>
        </w:trPr>
        <w:tc>
          <w:tcPr>
            <w:tcW w:w="0" w:type="auto"/>
            <w:vMerge/>
            <w:vAlign w:val="center"/>
            <w:hideMark/>
          </w:tcPr>
          <w:p w:rsidR="00442A31" w:rsidRPr="00442A31" w:rsidRDefault="00442A31" w:rsidP="000A693C">
            <w:pPr>
              <w:spacing w:after="0" w:line="240" w:lineRule="auto"/>
              <w:rPr>
                <w:rFonts w:eastAsia="Times New Roman" w:cs="Segoe UI"/>
                <w:color w:val="444444"/>
                <w:sz w:val="20"/>
                <w:szCs w:val="20"/>
                <w:lang w:eastAsia="es-AR"/>
              </w:rPr>
            </w:pP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D</w:t>
            </w: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Mediocre</w:t>
            </w:r>
          </w:p>
        </w:tc>
      </w:tr>
      <w:tr w:rsidR="00442A31" w:rsidRPr="00442A31" w:rsidTr="00442A31">
        <w:trPr>
          <w:tblCellSpacing w:w="15" w:type="dxa"/>
        </w:trPr>
        <w:tc>
          <w:tcPr>
            <w:tcW w:w="0" w:type="auto"/>
            <w:vMerge/>
            <w:vAlign w:val="center"/>
            <w:hideMark/>
          </w:tcPr>
          <w:p w:rsidR="00442A31" w:rsidRPr="00442A31" w:rsidRDefault="00442A31" w:rsidP="000A693C">
            <w:pPr>
              <w:spacing w:after="0" w:line="240" w:lineRule="auto"/>
              <w:rPr>
                <w:rFonts w:eastAsia="Times New Roman" w:cs="Segoe UI"/>
                <w:color w:val="444444"/>
                <w:sz w:val="20"/>
                <w:szCs w:val="20"/>
                <w:lang w:eastAsia="es-AR"/>
              </w:rPr>
            </w:pP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w:t>
            </w:r>
          </w:p>
        </w:tc>
        <w:tc>
          <w:tcPr>
            <w:tcW w:w="0" w:type="auto"/>
            <w:vAlign w:val="center"/>
            <w:hideMark/>
          </w:tcPr>
          <w:p w:rsidR="00442A31" w:rsidRPr="00442A31" w:rsidRDefault="00442A31" w:rsidP="000A693C">
            <w:pPr>
              <w:spacing w:after="0" w:line="240" w:lineRule="auto"/>
              <w:rPr>
                <w:rFonts w:eastAsia="Times New Roman" w:cs="Segoe UI"/>
                <w:color w:val="444444"/>
                <w:sz w:val="20"/>
                <w:szCs w:val="20"/>
                <w:lang w:eastAsia="es-AR"/>
              </w:rPr>
            </w:pPr>
            <w:r w:rsidRPr="00442A31">
              <w:rPr>
                <w:rFonts w:eastAsia="Times New Roman" w:cs="Segoe UI"/>
                <w:color w:val="444444"/>
                <w:sz w:val="20"/>
                <w:szCs w:val="20"/>
                <w:lang w:eastAsia="es-AR"/>
              </w:rPr>
              <w:t>Elemental</w:t>
            </w:r>
          </w:p>
        </w:tc>
      </w:tr>
    </w:tbl>
    <w:p w:rsidR="008153EF" w:rsidRPr="00442A31" w:rsidRDefault="008153EF">
      <w:pPr>
        <w:rPr>
          <w:sz w:val="20"/>
          <w:szCs w:val="20"/>
        </w:rPr>
      </w:pPr>
    </w:p>
    <w:sectPr w:rsidR="008153EF" w:rsidRPr="00442A31" w:rsidSect="008153E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9C21E5"/>
    <w:multiLevelType w:val="multilevel"/>
    <w:tmpl w:val="AAB2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A693C"/>
    <w:rsid w:val="000A693C"/>
    <w:rsid w:val="00442A31"/>
    <w:rsid w:val="0061005C"/>
    <w:rsid w:val="008153EF"/>
    <w:rsid w:val="00C32062"/>
    <w:rsid w:val="00C87F47"/>
    <w:rsid w:val="00D30FB5"/>
    <w:rsid w:val="00FC107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3EF"/>
  </w:style>
  <w:style w:type="paragraph" w:styleId="Ttulo3">
    <w:name w:val="heading 3"/>
    <w:basedOn w:val="Normal"/>
    <w:link w:val="Ttulo3Car"/>
    <w:uiPriority w:val="9"/>
    <w:qFormat/>
    <w:rsid w:val="000A693C"/>
    <w:pPr>
      <w:spacing w:after="63" w:line="264" w:lineRule="auto"/>
      <w:outlineLvl w:val="2"/>
    </w:pPr>
    <w:rPr>
      <w:rFonts w:ascii="Times New Roman" w:eastAsia="Times New Roman" w:hAnsi="Times New Roman" w:cs="Times New Roman"/>
      <w:color w:val="F4793A"/>
      <w:sz w:val="29"/>
      <w:szCs w:val="29"/>
      <w:lang w:eastAsia="es-AR"/>
    </w:rPr>
  </w:style>
  <w:style w:type="paragraph" w:styleId="Ttulo4">
    <w:name w:val="heading 4"/>
    <w:basedOn w:val="Normal"/>
    <w:link w:val="Ttulo4Car"/>
    <w:uiPriority w:val="9"/>
    <w:qFormat/>
    <w:rsid w:val="000A693C"/>
    <w:pPr>
      <w:spacing w:after="63" w:line="264" w:lineRule="auto"/>
      <w:outlineLvl w:val="3"/>
    </w:pPr>
    <w:rPr>
      <w:rFonts w:ascii="Times New Roman" w:eastAsia="Times New Roman" w:hAnsi="Times New Roman" w:cs="Times New Roman"/>
      <w:color w:val="F4793A"/>
      <w:sz w:val="24"/>
      <w:szCs w:val="24"/>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A693C"/>
    <w:rPr>
      <w:rFonts w:ascii="Times New Roman" w:eastAsia="Times New Roman" w:hAnsi="Times New Roman" w:cs="Times New Roman"/>
      <w:color w:val="F4793A"/>
      <w:sz w:val="29"/>
      <w:szCs w:val="29"/>
      <w:lang w:eastAsia="es-AR"/>
    </w:rPr>
  </w:style>
  <w:style w:type="character" w:customStyle="1" w:styleId="Ttulo4Car">
    <w:name w:val="Título 4 Car"/>
    <w:basedOn w:val="Fuentedeprrafopredeter"/>
    <w:link w:val="Ttulo4"/>
    <w:uiPriority w:val="9"/>
    <w:rsid w:val="000A693C"/>
    <w:rPr>
      <w:rFonts w:ascii="Times New Roman" w:eastAsia="Times New Roman" w:hAnsi="Times New Roman" w:cs="Times New Roman"/>
      <w:color w:val="F4793A"/>
      <w:sz w:val="24"/>
      <w:szCs w:val="24"/>
      <w:lang w:eastAsia="es-AR"/>
    </w:rPr>
  </w:style>
  <w:style w:type="character" w:styleId="Hipervnculo">
    <w:name w:val="Hyperlink"/>
    <w:basedOn w:val="Fuentedeprrafopredeter"/>
    <w:uiPriority w:val="99"/>
    <w:semiHidden/>
    <w:unhideWhenUsed/>
    <w:rsid w:val="000A693C"/>
    <w:rPr>
      <w:strike w:val="0"/>
      <w:dstrike w:val="0"/>
      <w:color w:val="0066CC"/>
      <w:u w:val="none"/>
      <w:effect w:val="none"/>
    </w:rPr>
  </w:style>
  <w:style w:type="paragraph" w:styleId="NormalWeb">
    <w:name w:val="Normal (Web)"/>
    <w:basedOn w:val="Normal"/>
    <w:uiPriority w:val="99"/>
    <w:unhideWhenUsed/>
    <w:rsid w:val="000A693C"/>
    <w:pPr>
      <w:spacing w:after="324" w:line="240" w:lineRule="auto"/>
    </w:pPr>
    <w:rPr>
      <w:rFonts w:ascii="Times New Roman" w:eastAsia="Times New Roman" w:hAnsi="Times New Roman" w:cs="Times New Roman"/>
      <w:sz w:val="24"/>
      <w:szCs w:val="24"/>
      <w:lang w:eastAsia="es-AR"/>
    </w:rPr>
  </w:style>
  <w:style w:type="character" w:customStyle="1" w:styleId="ecspaceafter">
    <w:name w:val="ec_spaceafter"/>
    <w:basedOn w:val="Fuentedeprrafopredeter"/>
    <w:rsid w:val="000A693C"/>
  </w:style>
  <w:style w:type="paragraph" w:customStyle="1" w:styleId="ectablebody">
    <w:name w:val="ec_tablebody"/>
    <w:basedOn w:val="Normal"/>
    <w:rsid w:val="000A693C"/>
    <w:pPr>
      <w:spacing w:after="324"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0A693C"/>
    <w:rPr>
      <w:i/>
      <w:iCs/>
    </w:rPr>
  </w:style>
  <w:style w:type="paragraph" w:customStyle="1" w:styleId="ectableheadercentred">
    <w:name w:val="ec_tableheadercentred"/>
    <w:basedOn w:val="Normal"/>
    <w:rsid w:val="000A693C"/>
    <w:pPr>
      <w:spacing w:after="324" w:line="240" w:lineRule="auto"/>
    </w:pPr>
    <w:rPr>
      <w:rFonts w:ascii="Times New Roman" w:eastAsia="Times New Roman" w:hAnsi="Times New Roman" w:cs="Times New Roman"/>
      <w:sz w:val="24"/>
      <w:szCs w:val="24"/>
      <w:lang w:eastAsia="es-AR"/>
    </w:rPr>
  </w:style>
  <w:style w:type="paragraph" w:customStyle="1" w:styleId="ectablebodywithoutcentred">
    <w:name w:val="ec_tablebodywithoutcentred"/>
    <w:basedOn w:val="Normal"/>
    <w:rsid w:val="000A693C"/>
    <w:pPr>
      <w:spacing w:after="324" w:line="240" w:lineRule="auto"/>
    </w:pPr>
    <w:rPr>
      <w:rFonts w:ascii="Times New Roman" w:eastAsia="Times New Roman" w:hAnsi="Times New Roman" w:cs="Times New Roman"/>
      <w:sz w:val="24"/>
      <w:szCs w:val="24"/>
      <w:lang w:eastAsia="es-AR"/>
    </w:rPr>
  </w:style>
  <w:style w:type="character" w:customStyle="1" w:styleId="ecbold">
    <w:name w:val="ec_bold"/>
    <w:basedOn w:val="Fuentedeprrafopredeter"/>
    <w:rsid w:val="000A693C"/>
  </w:style>
  <w:style w:type="paragraph" w:customStyle="1" w:styleId="ectablebodycentred">
    <w:name w:val="ec_tablebodycentred"/>
    <w:basedOn w:val="Normal"/>
    <w:rsid w:val="000A693C"/>
    <w:pPr>
      <w:spacing w:after="324"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0A693C"/>
    <w:rPr>
      <w:b/>
      <w:bCs/>
    </w:rPr>
  </w:style>
  <w:style w:type="paragraph" w:customStyle="1" w:styleId="ecbodywithoutspacing">
    <w:name w:val="ec_bodywithoutspacing"/>
    <w:basedOn w:val="Normal"/>
    <w:rsid w:val="000A693C"/>
    <w:pPr>
      <w:spacing w:after="324"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1936396942">
      <w:bodyDiv w:val="1"/>
      <w:marLeft w:val="0"/>
      <w:marRight w:val="0"/>
      <w:marTop w:val="0"/>
      <w:marBottom w:val="0"/>
      <w:divBdr>
        <w:top w:val="none" w:sz="0" w:space="0" w:color="auto"/>
        <w:left w:val="none" w:sz="0" w:space="0" w:color="auto"/>
        <w:bottom w:val="none" w:sz="0" w:space="0" w:color="auto"/>
        <w:right w:val="none" w:sz="0" w:space="0" w:color="auto"/>
      </w:divBdr>
      <w:divsChild>
        <w:div w:id="1678461410">
          <w:marLeft w:val="0"/>
          <w:marRight w:val="0"/>
          <w:marTop w:val="0"/>
          <w:marBottom w:val="0"/>
          <w:divBdr>
            <w:top w:val="none" w:sz="0" w:space="0" w:color="auto"/>
            <w:left w:val="none" w:sz="0" w:space="0" w:color="auto"/>
            <w:bottom w:val="none" w:sz="0" w:space="0" w:color="auto"/>
            <w:right w:val="none" w:sz="0" w:space="0" w:color="auto"/>
          </w:divBdr>
          <w:divsChild>
            <w:div w:id="1528567455">
              <w:marLeft w:val="0"/>
              <w:marRight w:val="0"/>
              <w:marTop w:val="0"/>
              <w:marBottom w:val="0"/>
              <w:divBdr>
                <w:top w:val="none" w:sz="0" w:space="0" w:color="auto"/>
                <w:left w:val="none" w:sz="0" w:space="0" w:color="auto"/>
                <w:bottom w:val="none" w:sz="0" w:space="0" w:color="auto"/>
                <w:right w:val="none" w:sz="0" w:space="0" w:color="auto"/>
              </w:divBdr>
              <w:divsChild>
                <w:div w:id="790905429">
                  <w:marLeft w:val="0"/>
                  <w:marRight w:val="0"/>
                  <w:marTop w:val="0"/>
                  <w:marBottom w:val="0"/>
                  <w:divBdr>
                    <w:top w:val="none" w:sz="0" w:space="0" w:color="auto"/>
                    <w:left w:val="none" w:sz="0" w:space="0" w:color="auto"/>
                    <w:bottom w:val="none" w:sz="0" w:space="0" w:color="auto"/>
                    <w:right w:val="none" w:sz="0" w:space="0" w:color="auto"/>
                  </w:divBdr>
                  <w:divsChild>
                    <w:div w:id="1061832927">
                      <w:marLeft w:val="0"/>
                      <w:marRight w:val="0"/>
                      <w:marTop w:val="0"/>
                      <w:marBottom w:val="0"/>
                      <w:divBdr>
                        <w:top w:val="none" w:sz="0" w:space="0" w:color="auto"/>
                        <w:left w:val="none" w:sz="0" w:space="0" w:color="auto"/>
                        <w:bottom w:val="none" w:sz="0" w:space="0" w:color="auto"/>
                        <w:right w:val="none" w:sz="0" w:space="0" w:color="auto"/>
                      </w:divBdr>
                      <w:divsChild>
                        <w:div w:id="641161384">
                          <w:marLeft w:val="0"/>
                          <w:marRight w:val="0"/>
                          <w:marTop w:val="0"/>
                          <w:marBottom w:val="0"/>
                          <w:divBdr>
                            <w:top w:val="none" w:sz="0" w:space="0" w:color="auto"/>
                            <w:left w:val="none" w:sz="0" w:space="0" w:color="auto"/>
                            <w:bottom w:val="none" w:sz="0" w:space="0" w:color="auto"/>
                            <w:right w:val="none" w:sz="0" w:space="0" w:color="auto"/>
                          </w:divBdr>
                          <w:divsChild>
                            <w:div w:id="496504030">
                              <w:marLeft w:val="0"/>
                              <w:marRight w:val="0"/>
                              <w:marTop w:val="0"/>
                              <w:marBottom w:val="0"/>
                              <w:divBdr>
                                <w:top w:val="none" w:sz="0" w:space="0" w:color="auto"/>
                                <w:left w:val="none" w:sz="0" w:space="0" w:color="auto"/>
                                <w:bottom w:val="none" w:sz="0" w:space="0" w:color="auto"/>
                                <w:right w:val="none" w:sz="0" w:space="0" w:color="auto"/>
                              </w:divBdr>
                              <w:divsChild>
                                <w:div w:id="1936816691">
                                  <w:marLeft w:val="0"/>
                                  <w:marRight w:val="0"/>
                                  <w:marTop w:val="0"/>
                                  <w:marBottom w:val="0"/>
                                  <w:divBdr>
                                    <w:top w:val="single" w:sz="4" w:space="0" w:color="CCCCCC"/>
                                    <w:left w:val="single" w:sz="4" w:space="0" w:color="CCCCCC"/>
                                    <w:bottom w:val="single" w:sz="4" w:space="0" w:color="CCCCCC"/>
                                    <w:right w:val="single" w:sz="4" w:space="0" w:color="CCCCCC"/>
                                  </w:divBdr>
                                  <w:divsChild>
                                    <w:div w:id="1204713897">
                                      <w:marLeft w:val="0"/>
                                      <w:marRight w:val="0"/>
                                      <w:marTop w:val="13"/>
                                      <w:marBottom w:val="0"/>
                                      <w:divBdr>
                                        <w:top w:val="none" w:sz="0" w:space="0" w:color="auto"/>
                                        <w:left w:val="none" w:sz="0" w:space="0" w:color="auto"/>
                                        <w:bottom w:val="none" w:sz="0" w:space="0" w:color="auto"/>
                                        <w:right w:val="none" w:sz="0" w:space="0" w:color="auto"/>
                                      </w:divBdr>
                                      <w:divsChild>
                                        <w:div w:id="2125077057">
                                          <w:marLeft w:val="0"/>
                                          <w:marRight w:val="0"/>
                                          <w:marTop w:val="0"/>
                                          <w:marBottom w:val="0"/>
                                          <w:divBdr>
                                            <w:top w:val="none" w:sz="0" w:space="0" w:color="auto"/>
                                            <w:left w:val="none" w:sz="0" w:space="0" w:color="auto"/>
                                            <w:bottom w:val="none" w:sz="0" w:space="0" w:color="auto"/>
                                            <w:right w:val="none" w:sz="0" w:space="0" w:color="auto"/>
                                          </w:divBdr>
                                          <w:divsChild>
                                            <w:div w:id="2131390972">
                                              <w:marLeft w:val="0"/>
                                              <w:marRight w:val="0"/>
                                              <w:marTop w:val="0"/>
                                              <w:marBottom w:val="0"/>
                                              <w:divBdr>
                                                <w:top w:val="none" w:sz="0" w:space="0" w:color="auto"/>
                                                <w:left w:val="none" w:sz="0" w:space="0" w:color="auto"/>
                                                <w:bottom w:val="none" w:sz="0" w:space="0" w:color="auto"/>
                                                <w:right w:val="none" w:sz="0" w:space="0" w:color="auto"/>
                                              </w:divBdr>
                                              <w:divsChild>
                                                <w:div w:id="308285618">
                                                  <w:marLeft w:val="0"/>
                                                  <w:marRight w:val="0"/>
                                                  <w:marTop w:val="0"/>
                                                  <w:marBottom w:val="0"/>
                                                  <w:divBdr>
                                                    <w:top w:val="none" w:sz="0" w:space="0" w:color="auto"/>
                                                    <w:left w:val="none" w:sz="0" w:space="0" w:color="auto"/>
                                                    <w:bottom w:val="none" w:sz="0" w:space="0" w:color="auto"/>
                                                    <w:right w:val="none" w:sz="0" w:space="0" w:color="auto"/>
                                                  </w:divBdr>
                                                  <w:divsChild>
                                                    <w:div w:id="2070838444">
                                                      <w:marLeft w:val="0"/>
                                                      <w:marRight w:val="0"/>
                                                      <w:marTop w:val="0"/>
                                                      <w:marBottom w:val="0"/>
                                                      <w:divBdr>
                                                        <w:top w:val="none" w:sz="0" w:space="0" w:color="auto"/>
                                                        <w:left w:val="none" w:sz="0" w:space="0" w:color="auto"/>
                                                        <w:bottom w:val="none" w:sz="0" w:space="0" w:color="auto"/>
                                                        <w:right w:val="none" w:sz="0" w:space="0" w:color="auto"/>
                                                      </w:divBdr>
                                                      <w:divsChild>
                                                        <w:div w:id="180095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xmltwo.ibo.org/publications/DP/Group0/d_0_dpyyy_vmx_0809_1/html/DP2008/xmltwo.ibo.org/publications/DP/Group0/d_0_dpyyy_vmx_0809_1/pdf/D2_s.pdf"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1349</Words>
  <Characters>7422</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8754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2</cp:revision>
  <dcterms:created xsi:type="dcterms:W3CDTF">2008-11-05T23:04:00Z</dcterms:created>
  <dcterms:modified xsi:type="dcterms:W3CDTF">2008-11-06T11:26:00Z</dcterms:modified>
</cp:coreProperties>
</file>